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883" w:firstLineChars="200"/>
        <w:jc w:val="center"/>
        <w:rPr>
          <w:rFonts w:ascii="彩虹小标宋" w:hAnsi="宋体" w:eastAsia="彩虹小标宋" w:cs="Times New Roman"/>
          <w:b/>
          <w:snapToGrid w:val="0"/>
          <w:kern w:val="0"/>
          <w:sz w:val="44"/>
          <w:szCs w:val="44"/>
        </w:rPr>
      </w:pPr>
      <w:r>
        <w:rPr>
          <w:rFonts w:hint="eastAsia" w:ascii="彩虹小标宋" w:hAnsi="宋体" w:eastAsia="彩虹小标宋" w:cs="Times New Roman"/>
          <w:b/>
          <w:snapToGrid w:val="0"/>
          <w:kern w:val="0"/>
          <w:sz w:val="44"/>
          <w:szCs w:val="44"/>
        </w:rPr>
        <w:t>厦门市分行2026年公积金纠纷调解项目采购需求</w:t>
      </w:r>
    </w:p>
    <w:p>
      <w:pPr>
        <w:spacing w:line="360" w:lineRule="auto"/>
        <w:ind w:firstLine="640" w:firstLineChars="200"/>
        <w:rPr>
          <w:rFonts w:ascii="彩虹粗仿宋" w:hAnsi="宋体" w:eastAsia="彩虹粗仿宋" w:cs="Times New Roman"/>
          <w:snapToGrid w:val="0"/>
          <w:kern w:val="0"/>
          <w:sz w:val="32"/>
          <w:szCs w:val="32"/>
        </w:rPr>
      </w:pP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一、服务供应商要求</w:t>
      </w:r>
    </w:p>
    <w:p>
      <w:pPr>
        <w:pStyle w:val="2"/>
        <w:keepNext w:val="0"/>
        <w:keepLines w:val="0"/>
        <w:pageBreakBefore w:val="0"/>
        <w:shd w:val="clear" w:color="auto" w:fill="FFFFFF"/>
        <w:kinsoku/>
        <w:wordWrap/>
        <w:overflowPunct/>
        <w:topLinePunct w:val="0"/>
        <w:autoSpaceDE/>
        <w:autoSpaceDN/>
        <w:bidi w:val="0"/>
        <w:spacing w:before="0" w:beforeAutospacing="0" w:after="0" w:afterAutospacing="0" w:line="580" w:lineRule="exact"/>
        <w:ind w:firstLine="640" w:firstLineChars="200"/>
        <w:jc w:val="left"/>
        <w:textAlignment w:val="auto"/>
        <w:rPr>
          <w:rFonts w:hint="eastAsia" w:ascii="彩虹粗仿宋" w:hAnsi="宋体" w:eastAsia="彩虹粗仿宋" w:cs="Times New Roman"/>
          <w:snapToGrid w:val="0"/>
          <w:kern w:val="0"/>
          <w:sz w:val="32"/>
          <w:szCs w:val="32"/>
          <w:lang w:val="en-US" w:eastAsia="zh-CN" w:bidi="ar-SA"/>
        </w:rPr>
      </w:pPr>
      <w:r>
        <w:rPr>
          <w:rFonts w:hint="eastAsia" w:ascii="彩虹粗仿宋" w:hAnsi="宋体" w:eastAsia="彩虹粗仿宋" w:cs="Times New Roman"/>
          <w:snapToGrid w:val="0"/>
          <w:kern w:val="0"/>
          <w:sz w:val="32"/>
          <w:szCs w:val="32"/>
          <w:lang w:val="en-US" w:eastAsia="zh-CN" w:bidi="ar-SA"/>
        </w:rPr>
        <w:t>1.供应商属于经国家金融监督管理总局准入的调解组织。</w:t>
      </w:r>
    </w:p>
    <w:p>
      <w:pPr>
        <w:pStyle w:val="2"/>
        <w:keepNext w:val="0"/>
        <w:keepLines w:val="0"/>
        <w:pageBreakBefore w:val="0"/>
        <w:shd w:val="clear" w:color="auto" w:fill="FFFFFF"/>
        <w:kinsoku/>
        <w:wordWrap/>
        <w:overflowPunct/>
        <w:topLinePunct w:val="0"/>
        <w:autoSpaceDE/>
        <w:autoSpaceDN/>
        <w:bidi w:val="0"/>
        <w:spacing w:before="0" w:beforeAutospacing="0" w:after="0" w:afterAutospacing="0" w:line="580" w:lineRule="exact"/>
        <w:ind w:firstLine="640" w:firstLineChars="200"/>
        <w:jc w:val="left"/>
        <w:textAlignment w:val="auto"/>
        <w:rPr>
          <w:rFonts w:hint="eastAsia" w:ascii="彩虹粗仿宋" w:hAnsi="宋体" w:eastAsia="彩虹粗仿宋" w:cs="Times New Roman"/>
          <w:snapToGrid w:val="0"/>
          <w:kern w:val="0"/>
          <w:sz w:val="32"/>
          <w:szCs w:val="32"/>
          <w:lang w:val="en-US" w:eastAsia="zh-CN" w:bidi="ar-SA"/>
        </w:rPr>
      </w:pPr>
      <w:r>
        <w:rPr>
          <w:rFonts w:hint="eastAsia" w:ascii="彩虹粗仿宋" w:eastAsia="彩虹粗仿宋" w:cs="Times New Roman"/>
          <w:snapToGrid w:val="0"/>
          <w:kern w:val="0"/>
          <w:sz w:val="32"/>
          <w:szCs w:val="32"/>
          <w:lang w:val="en-US" w:eastAsia="zh-CN" w:bidi="ar-SA"/>
        </w:rPr>
        <w:t>2</w:t>
      </w:r>
      <w:r>
        <w:rPr>
          <w:rFonts w:hint="eastAsia" w:ascii="彩虹粗仿宋" w:hAnsi="宋体" w:eastAsia="彩虹粗仿宋" w:cs="Times New Roman"/>
          <w:snapToGrid w:val="0"/>
          <w:kern w:val="0"/>
          <w:sz w:val="32"/>
          <w:szCs w:val="32"/>
          <w:lang w:val="en-US" w:eastAsia="zh-CN" w:bidi="ar-SA"/>
        </w:rPr>
        <w:t>.供应商须具有</w:t>
      </w:r>
      <w:r>
        <w:rPr>
          <w:rFonts w:hint="eastAsia" w:ascii="彩虹粗仿宋" w:hAnsi="宋体" w:eastAsia="彩虹粗仿宋" w:cs="Times New Roman"/>
          <w:snapToGrid w:val="0"/>
          <w:kern w:val="0"/>
          <w:sz w:val="32"/>
          <w:szCs w:val="32"/>
          <w:lang w:val="zh-CN" w:eastAsia="zh-CN" w:bidi="ar-SA"/>
        </w:rPr>
        <w:t>与银行业协会、保险业协会</w:t>
      </w:r>
      <w:r>
        <w:rPr>
          <w:rFonts w:hint="eastAsia" w:ascii="彩虹粗仿宋" w:hAnsi="宋体" w:eastAsia="彩虹粗仿宋" w:cs="Times New Roman"/>
          <w:snapToGrid w:val="0"/>
          <w:kern w:val="0"/>
          <w:sz w:val="32"/>
          <w:szCs w:val="32"/>
          <w:lang w:val="en-US" w:eastAsia="zh-CN" w:bidi="ar-SA"/>
        </w:rPr>
        <w:t>及</w:t>
      </w:r>
      <w:r>
        <w:rPr>
          <w:rFonts w:hint="eastAsia" w:ascii="彩虹粗仿宋" w:hAnsi="宋体" w:eastAsia="彩虹粗仿宋" w:cs="Times New Roman"/>
          <w:snapToGrid w:val="0"/>
          <w:kern w:val="0"/>
          <w:sz w:val="32"/>
          <w:szCs w:val="32"/>
          <w:lang w:val="zh-CN" w:eastAsia="zh-CN" w:bidi="ar-SA"/>
        </w:rPr>
        <w:t>住房资金管理机构签订的纠纷调解合作证明材料</w:t>
      </w:r>
      <w:r>
        <w:rPr>
          <w:rFonts w:hint="eastAsia" w:ascii="彩虹粗仿宋" w:hAnsi="宋体" w:eastAsia="彩虹粗仿宋" w:cs="Times New Roman"/>
          <w:snapToGrid w:val="0"/>
          <w:kern w:val="0"/>
          <w:sz w:val="32"/>
          <w:szCs w:val="32"/>
          <w:lang w:val="en-US" w:eastAsia="zh-CN" w:bidi="ar-SA"/>
        </w:rPr>
        <w:t>。</w:t>
      </w:r>
    </w:p>
    <w:p>
      <w:pPr>
        <w:pStyle w:val="2"/>
        <w:keepNext w:val="0"/>
        <w:keepLines w:val="0"/>
        <w:pageBreakBefore w:val="0"/>
        <w:shd w:val="clear" w:color="auto" w:fill="FFFFFF"/>
        <w:kinsoku/>
        <w:wordWrap/>
        <w:overflowPunct/>
        <w:topLinePunct w:val="0"/>
        <w:autoSpaceDE/>
        <w:autoSpaceDN/>
        <w:bidi w:val="0"/>
        <w:spacing w:before="0" w:beforeAutospacing="0" w:after="0" w:afterAutospacing="0" w:line="580" w:lineRule="exact"/>
        <w:ind w:firstLine="640" w:firstLineChars="200"/>
        <w:jc w:val="left"/>
        <w:textAlignment w:val="auto"/>
        <w:rPr>
          <w:rFonts w:hint="eastAsia" w:ascii="彩虹粗仿宋" w:hAnsi="宋体" w:eastAsia="彩虹粗仿宋" w:cs="Times New Roman"/>
          <w:snapToGrid w:val="0"/>
          <w:kern w:val="0"/>
          <w:sz w:val="32"/>
          <w:szCs w:val="32"/>
          <w:lang w:val="en-US" w:eastAsia="zh-CN" w:bidi="ar-SA"/>
        </w:rPr>
      </w:pPr>
      <w:r>
        <w:rPr>
          <w:rFonts w:hint="eastAsia" w:ascii="彩虹粗仿宋" w:eastAsia="彩虹粗仿宋" w:cs="Times New Roman"/>
          <w:snapToGrid w:val="0"/>
          <w:kern w:val="0"/>
          <w:sz w:val="32"/>
          <w:szCs w:val="32"/>
          <w:lang w:val="en-US" w:eastAsia="zh-CN" w:bidi="ar-SA"/>
        </w:rPr>
        <w:t>3</w:t>
      </w:r>
      <w:r>
        <w:rPr>
          <w:rFonts w:hint="eastAsia" w:ascii="彩虹粗仿宋" w:hAnsi="宋体" w:eastAsia="彩虹粗仿宋" w:cs="Times New Roman"/>
          <w:snapToGrid w:val="0"/>
          <w:kern w:val="0"/>
          <w:sz w:val="32"/>
          <w:szCs w:val="32"/>
          <w:lang w:val="en-US" w:eastAsia="zh-CN" w:bidi="ar-SA"/>
        </w:rPr>
        <w:t>.供应商近3年（自2023年9月以来）具有金融业务纠纷调解相关的合作案例。</w:t>
      </w:r>
    </w:p>
    <w:p>
      <w:pPr>
        <w:pStyle w:val="2"/>
        <w:keepNext w:val="0"/>
        <w:keepLines w:val="0"/>
        <w:pageBreakBefore w:val="0"/>
        <w:shd w:val="clear" w:color="auto" w:fill="FFFFFF"/>
        <w:kinsoku/>
        <w:wordWrap/>
        <w:overflowPunct/>
        <w:topLinePunct w:val="0"/>
        <w:autoSpaceDE/>
        <w:autoSpaceDN/>
        <w:bidi w:val="0"/>
        <w:spacing w:before="0" w:beforeAutospacing="0" w:after="0" w:afterAutospacing="0" w:line="580" w:lineRule="exact"/>
        <w:ind w:firstLine="640" w:firstLineChars="200"/>
        <w:jc w:val="left"/>
        <w:textAlignment w:val="auto"/>
        <w:rPr>
          <w:rFonts w:hint="eastAsia" w:ascii="彩虹粗仿宋" w:hAnsi="宋体" w:eastAsia="彩虹粗仿宋" w:cs="Times New Roman"/>
          <w:snapToGrid w:val="0"/>
          <w:kern w:val="0"/>
          <w:sz w:val="32"/>
          <w:szCs w:val="32"/>
          <w:lang w:val="en-US" w:eastAsia="zh-CN" w:bidi="ar-SA"/>
        </w:rPr>
      </w:pPr>
      <w:r>
        <w:rPr>
          <w:rFonts w:hint="eastAsia" w:ascii="彩虹粗仿宋" w:eastAsia="彩虹粗仿宋" w:cs="Times New Roman"/>
          <w:snapToGrid w:val="0"/>
          <w:kern w:val="0"/>
          <w:sz w:val="32"/>
          <w:szCs w:val="32"/>
          <w:lang w:val="en-US" w:eastAsia="zh-CN" w:bidi="ar-SA"/>
        </w:rPr>
        <w:t>4</w:t>
      </w:r>
      <w:r>
        <w:rPr>
          <w:rFonts w:hint="eastAsia" w:ascii="彩虹粗仿宋" w:hAnsi="宋体" w:eastAsia="彩虹粗仿宋" w:cs="Times New Roman"/>
          <w:snapToGrid w:val="0"/>
          <w:kern w:val="0"/>
          <w:sz w:val="32"/>
          <w:szCs w:val="32"/>
          <w:lang w:val="en-US" w:eastAsia="zh-CN" w:bidi="ar-SA"/>
        </w:rPr>
        <w:t>.为高效处理当地公积金相关纠纷调解事宜，要求供应商在厦门市设有固定的办公场所或营业机构，并配备具备录音录像功能的专用调解场所，以确保纠纷调解工作的顺利开展与过程留痕。</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二、服务品类</w:t>
      </w:r>
    </w:p>
    <w:p>
      <w:pPr>
        <w:spacing w:line="360" w:lineRule="auto"/>
        <w:ind w:firstLine="640" w:firstLineChars="200"/>
        <w:rPr>
          <w:rFonts w:hint="eastAsia" w:ascii="彩虹粗仿宋" w:hAnsi="宋体" w:eastAsia="彩虹粗仿宋" w:cs="Times New Roman"/>
          <w:snapToGrid w:val="0"/>
          <w:kern w:val="0"/>
          <w:sz w:val="32"/>
          <w:szCs w:val="32"/>
          <w:lang w:eastAsia="zh-CN"/>
        </w:rPr>
      </w:pPr>
      <w:r>
        <w:rPr>
          <w:rFonts w:hint="eastAsia" w:ascii="彩虹粗仿宋" w:hAnsi="宋体" w:eastAsia="彩虹粗仿宋" w:cs="Times New Roman"/>
          <w:snapToGrid w:val="0"/>
          <w:kern w:val="0"/>
          <w:sz w:val="32"/>
          <w:szCs w:val="32"/>
          <w:lang w:eastAsia="zh-CN"/>
        </w:rPr>
        <w:t>其他非诉讼法律服务</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三、服务内容</w:t>
      </w:r>
    </w:p>
    <w:p>
      <w:pPr>
        <w:spacing w:line="360" w:lineRule="auto"/>
        <w:ind w:firstLine="640" w:firstLineChars="200"/>
        <w:rPr>
          <w:rFonts w:hint="eastAsia" w:ascii="彩虹粗仿宋" w:hAnsi="宋体" w:eastAsia="彩虹粗仿宋" w:cs="Times New Roman"/>
          <w:snapToGrid w:val="0"/>
          <w:kern w:val="0"/>
          <w:sz w:val="32"/>
          <w:szCs w:val="32"/>
          <w:lang w:eastAsia="zh-CN"/>
        </w:rPr>
      </w:pPr>
      <w:r>
        <w:rPr>
          <w:rFonts w:hint="eastAsia" w:ascii="彩虹粗仿宋" w:hAnsi="宋体" w:eastAsia="彩虹粗仿宋" w:cs="Times New Roman"/>
          <w:snapToGrid w:val="0"/>
          <w:kern w:val="0"/>
          <w:sz w:val="32"/>
          <w:szCs w:val="32"/>
          <w:lang w:eastAsia="zh-CN"/>
        </w:rPr>
        <w:t>组织</w:t>
      </w:r>
      <w:r>
        <w:rPr>
          <w:rFonts w:hint="eastAsia" w:ascii="彩虹粗仿宋" w:hAnsi="宋体" w:eastAsia="彩虹粗仿宋" w:cs="Times New Roman"/>
          <w:snapToGrid w:val="0"/>
          <w:kern w:val="0"/>
          <w:sz w:val="32"/>
          <w:szCs w:val="32"/>
        </w:rPr>
        <w:t>开展调解工作，有效妥善解决</w:t>
      </w:r>
      <w:r>
        <w:rPr>
          <w:rFonts w:hint="eastAsia" w:ascii="彩虹粗仿宋" w:hAnsi="宋体" w:eastAsia="彩虹粗仿宋" w:cs="Times New Roman"/>
          <w:snapToGrid w:val="0"/>
          <w:kern w:val="0"/>
          <w:sz w:val="32"/>
          <w:szCs w:val="32"/>
          <w:lang w:eastAsia="zh-CN"/>
        </w:rPr>
        <w:t>缴存</w:t>
      </w:r>
      <w:r>
        <w:rPr>
          <w:rFonts w:hint="eastAsia" w:ascii="彩虹粗仿宋" w:hAnsi="宋体" w:eastAsia="彩虹粗仿宋" w:cs="Times New Roman"/>
          <w:snapToGrid w:val="0"/>
          <w:kern w:val="0"/>
          <w:sz w:val="32"/>
          <w:szCs w:val="32"/>
        </w:rPr>
        <w:t>职工诉求，及时化解矛盾，力争息诉罢访</w:t>
      </w:r>
      <w:r>
        <w:rPr>
          <w:rFonts w:hint="eastAsia" w:ascii="彩虹粗仿宋" w:hAnsi="宋体" w:eastAsia="彩虹粗仿宋" w:cs="Times New Roman"/>
          <w:snapToGrid w:val="0"/>
          <w:kern w:val="0"/>
          <w:sz w:val="32"/>
          <w:szCs w:val="32"/>
          <w:lang w:eastAsia="zh-CN"/>
        </w:rPr>
        <w:t>。</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四、服务团队</w:t>
      </w:r>
    </w:p>
    <w:p>
      <w:pPr>
        <w:spacing w:line="360" w:lineRule="auto"/>
        <w:ind w:firstLine="643" w:firstLineChars="200"/>
        <w:rPr>
          <w:rFonts w:hint="eastAsia" w:ascii="彩虹粗仿宋" w:hAnsi="宋体" w:eastAsia="彩虹粗仿宋" w:cs="Times New Roman"/>
          <w:snapToGrid w:val="0"/>
          <w:kern w:val="0"/>
          <w:sz w:val="32"/>
          <w:szCs w:val="32"/>
          <w:lang w:eastAsia="zh-CN"/>
        </w:rPr>
      </w:pPr>
      <w:r>
        <w:rPr>
          <w:rFonts w:hint="eastAsia" w:ascii="彩虹粗仿宋" w:hAnsi="宋体" w:eastAsia="彩虹粗仿宋" w:cs="Times New Roman"/>
          <w:b/>
          <w:bCs/>
          <w:snapToGrid w:val="0"/>
          <w:kern w:val="0"/>
          <w:sz w:val="32"/>
          <w:szCs w:val="32"/>
          <w:lang w:val="en-US" w:eastAsia="zh-CN"/>
        </w:rPr>
        <w:t>企业必须是</w:t>
      </w:r>
      <w:r>
        <w:rPr>
          <w:rFonts w:hint="eastAsia" w:ascii="彩虹粗仿宋" w:hAnsi="宋体" w:eastAsia="彩虹粗仿宋" w:cs="Times New Roman"/>
          <w:b/>
          <w:bCs/>
          <w:snapToGrid w:val="0"/>
          <w:kern w:val="0"/>
          <w:sz w:val="32"/>
          <w:szCs w:val="32"/>
        </w:rPr>
        <w:t>经国家金融监督管理总局准入的调解组织</w:t>
      </w:r>
      <w:r>
        <w:rPr>
          <w:rFonts w:hint="eastAsia" w:ascii="彩虹粗仿宋" w:hAnsi="宋体" w:eastAsia="彩虹粗仿宋" w:cs="Times New Roman"/>
          <w:snapToGrid w:val="0"/>
          <w:kern w:val="0"/>
          <w:sz w:val="32"/>
          <w:szCs w:val="32"/>
          <w:lang w:eastAsia="zh-CN"/>
        </w:rPr>
        <w:t>，具备参与金融业务纠纷调解</w:t>
      </w:r>
      <w:r>
        <w:rPr>
          <w:rFonts w:hint="eastAsia" w:ascii="彩虹粗仿宋" w:hAnsi="宋体" w:eastAsia="彩虹粗仿宋" w:cs="Times New Roman"/>
          <w:snapToGrid w:val="0"/>
          <w:kern w:val="0"/>
          <w:sz w:val="32"/>
          <w:szCs w:val="32"/>
          <w:lang w:val="en-US" w:eastAsia="zh-CN"/>
        </w:rPr>
        <w:t>或</w:t>
      </w:r>
      <w:bookmarkStart w:id="0" w:name="_GoBack"/>
      <w:bookmarkEnd w:id="0"/>
      <w:r>
        <w:rPr>
          <w:rFonts w:hint="eastAsia" w:ascii="彩虹粗仿宋" w:hAnsi="宋体" w:eastAsia="彩虹粗仿宋" w:cs="Times New Roman"/>
          <w:snapToGrid w:val="0"/>
          <w:kern w:val="0"/>
          <w:sz w:val="32"/>
          <w:szCs w:val="32"/>
          <w:lang w:eastAsia="zh-CN"/>
        </w:rPr>
        <w:t>公积金业务纠纷调解成功经验。</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五、服务质量要求</w:t>
      </w:r>
    </w:p>
    <w:p>
      <w:pPr>
        <w:spacing w:line="360" w:lineRule="auto"/>
        <w:ind w:firstLine="640" w:firstLineChars="200"/>
        <w:rPr>
          <w:rFonts w:hint="eastAsia"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lang w:eastAsia="zh-CN"/>
        </w:rPr>
        <w:t>严格遵循当事人自愿原则，在法律框架内开展调解工作，保障各方合法权益；</w:t>
      </w:r>
      <w:r>
        <w:rPr>
          <w:rFonts w:hint="eastAsia" w:ascii="彩虹粗仿宋" w:hAnsi="宋体" w:eastAsia="彩虹粗仿宋" w:cs="Times New Roman"/>
          <w:snapToGrid w:val="0"/>
          <w:kern w:val="0"/>
          <w:sz w:val="32"/>
          <w:szCs w:val="32"/>
        </w:rPr>
        <w:t>有效妥善解决缴存职工诉求，及时化解矛盾，力争息诉罢访。</w:t>
      </w:r>
    </w:p>
    <w:p>
      <w:pPr>
        <w:spacing w:line="360" w:lineRule="auto"/>
        <w:ind w:firstLine="640" w:firstLineChars="200"/>
        <w:rPr>
          <w:rFonts w:hint="eastAsia" w:ascii="彩虹粗仿宋" w:hAnsi="宋体" w:eastAsia="彩虹粗仿宋" w:cs="Times New Roman"/>
          <w:snapToGrid w:val="0"/>
          <w:kern w:val="0"/>
          <w:sz w:val="32"/>
          <w:szCs w:val="32"/>
          <w:lang w:val="en-US" w:eastAsia="zh-CN"/>
        </w:rPr>
      </w:pPr>
      <w:r>
        <w:rPr>
          <w:rFonts w:hint="eastAsia" w:ascii="彩虹粗仿宋" w:hAnsi="宋体" w:eastAsia="彩虹粗仿宋" w:cs="Times New Roman"/>
          <w:snapToGrid w:val="0"/>
          <w:kern w:val="0"/>
          <w:sz w:val="32"/>
          <w:szCs w:val="32"/>
          <w:lang w:val="en-US" w:eastAsia="zh-CN"/>
        </w:rPr>
        <w:t>1.负责线上线下纠纷材料收集、调查核实、开展调解、协议签署、文书送达等全流程调解工作，及时向厦门市住房公积金中心及分行反馈纠纷处理结果。</w:t>
      </w:r>
    </w:p>
    <w:p>
      <w:pPr>
        <w:spacing w:line="360" w:lineRule="auto"/>
        <w:ind w:firstLine="640" w:firstLineChars="200"/>
        <w:rPr>
          <w:rFonts w:hint="default" w:ascii="彩虹粗仿宋" w:hAnsi="宋体" w:eastAsia="彩虹粗仿宋" w:cs="Times New Roman"/>
          <w:snapToGrid w:val="0"/>
          <w:kern w:val="0"/>
          <w:sz w:val="32"/>
          <w:szCs w:val="32"/>
          <w:lang w:val="en-US" w:eastAsia="zh-CN"/>
        </w:rPr>
      </w:pPr>
      <w:r>
        <w:rPr>
          <w:rFonts w:hint="eastAsia" w:ascii="彩虹粗仿宋" w:hAnsi="宋体" w:eastAsia="彩虹粗仿宋" w:cs="Times New Roman"/>
          <w:snapToGrid w:val="0"/>
          <w:kern w:val="0"/>
          <w:sz w:val="32"/>
          <w:szCs w:val="32"/>
          <w:lang w:val="en-US" w:eastAsia="zh-CN"/>
        </w:rPr>
        <w:t>2.对调解过程中发现的企业长期恶意漏缴少缴住房公积金等涉嫌违规的情形，辅助完成执法各项前期准备工作，根据调解过程情况出具《执法移送建议函》。</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黑体" w:hAnsi="宋体" w:eastAsia="彩虹黑体" w:cs="Times New Roman"/>
          <w:snapToGrid w:val="0"/>
          <w:color w:val="FF0000"/>
          <w:kern w:val="0"/>
          <w:sz w:val="32"/>
          <w:szCs w:val="32"/>
        </w:rPr>
        <w:t>六、服务数量要求</w:t>
      </w:r>
    </w:p>
    <w:p>
      <w:pPr>
        <w:spacing w:line="360" w:lineRule="auto"/>
        <w:ind w:firstLine="640" w:firstLineChars="200"/>
        <w:rPr>
          <w:rFonts w:hint="default" w:ascii="彩虹粗仿宋" w:hAnsi="宋体" w:eastAsia="彩虹粗仿宋" w:cs="Times New Roman"/>
          <w:snapToGrid w:val="0"/>
          <w:kern w:val="0"/>
          <w:sz w:val="32"/>
          <w:szCs w:val="32"/>
          <w:lang w:val="en-US"/>
        </w:rPr>
      </w:pPr>
      <w:r>
        <w:rPr>
          <w:rFonts w:hint="eastAsia" w:ascii="彩虹粗仿宋" w:hAnsi="宋体" w:eastAsia="彩虹粗仿宋" w:cs="Times New Roman"/>
          <w:snapToGrid w:val="0"/>
          <w:kern w:val="0"/>
          <w:sz w:val="32"/>
          <w:szCs w:val="32"/>
          <w:lang w:val="en-US" w:eastAsia="zh-CN"/>
        </w:rPr>
        <w:t>预计调解120笔</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七、服务供应安排</w:t>
      </w:r>
    </w:p>
    <w:p>
      <w:pPr>
        <w:spacing w:line="360" w:lineRule="auto"/>
        <w:ind w:firstLine="640" w:firstLineChars="200"/>
        <w:rPr>
          <w:rFonts w:hint="eastAsia" w:ascii="彩虹粗仿宋" w:hAnsi="宋体" w:eastAsia="彩虹粗仿宋" w:cs="Times New Roman"/>
          <w:snapToGrid w:val="0"/>
          <w:kern w:val="0"/>
          <w:sz w:val="32"/>
          <w:szCs w:val="32"/>
          <w:lang w:eastAsia="zh-CN"/>
        </w:rPr>
      </w:pPr>
      <w:r>
        <w:rPr>
          <w:rFonts w:hint="eastAsia" w:ascii="彩虹粗仿宋" w:hAnsi="宋体" w:eastAsia="彩虹粗仿宋" w:cs="Times New Roman"/>
          <w:snapToGrid w:val="0"/>
          <w:kern w:val="0"/>
          <w:sz w:val="32"/>
          <w:szCs w:val="32"/>
        </w:rPr>
        <w:t>按照</w:t>
      </w:r>
      <w:r>
        <w:rPr>
          <w:rFonts w:hint="eastAsia" w:ascii="彩虹粗仿宋" w:hAnsi="宋体" w:eastAsia="彩虹粗仿宋" w:cs="Times New Roman"/>
          <w:snapToGrid w:val="0"/>
          <w:kern w:val="0"/>
          <w:sz w:val="32"/>
          <w:szCs w:val="32"/>
          <w:lang w:eastAsia="zh-CN"/>
        </w:rPr>
        <w:t>厦门市住房公积金中心要求及分行业务需求、缴存职工诉求</w:t>
      </w:r>
      <w:r>
        <w:rPr>
          <w:rFonts w:hint="eastAsia" w:ascii="彩虹粗仿宋" w:hAnsi="宋体" w:eastAsia="彩虹粗仿宋" w:cs="Times New Roman"/>
          <w:snapToGrid w:val="0"/>
          <w:kern w:val="0"/>
          <w:sz w:val="32"/>
          <w:szCs w:val="32"/>
        </w:rPr>
        <w:t>，</w:t>
      </w:r>
      <w:r>
        <w:rPr>
          <w:rFonts w:hint="eastAsia" w:ascii="彩虹粗仿宋" w:hAnsi="宋体" w:eastAsia="彩虹粗仿宋" w:cs="Times New Roman"/>
          <w:snapToGrid w:val="0"/>
          <w:kern w:val="0"/>
          <w:sz w:val="32"/>
          <w:szCs w:val="32"/>
          <w:lang w:eastAsia="zh-CN"/>
        </w:rPr>
        <w:t>由供应商</w:t>
      </w:r>
      <w:r>
        <w:rPr>
          <w:rFonts w:hint="eastAsia" w:ascii="彩虹粗仿宋" w:hAnsi="宋体" w:eastAsia="彩虹粗仿宋" w:cs="Times New Roman"/>
          <w:snapToGrid w:val="0"/>
          <w:kern w:val="0"/>
          <w:sz w:val="32"/>
          <w:szCs w:val="32"/>
        </w:rPr>
        <w:t>进行调解</w:t>
      </w:r>
      <w:r>
        <w:rPr>
          <w:rFonts w:hint="eastAsia" w:ascii="彩虹粗仿宋" w:hAnsi="宋体" w:eastAsia="彩虹粗仿宋" w:cs="Times New Roman"/>
          <w:snapToGrid w:val="0"/>
          <w:kern w:val="0"/>
          <w:sz w:val="32"/>
          <w:szCs w:val="32"/>
          <w:lang w:eastAsia="zh-CN"/>
        </w:rPr>
        <w:t>。</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八、款项支付要求</w:t>
      </w:r>
    </w:p>
    <w:p>
      <w:pPr>
        <w:spacing w:line="360" w:lineRule="auto"/>
        <w:ind w:firstLine="640" w:firstLineChars="200"/>
        <w:rPr>
          <w:rFonts w:hint="eastAsia" w:ascii="彩虹粗仿宋" w:hAnsi="宋体" w:eastAsia="彩虹粗仿宋" w:cs="Times New Roman"/>
          <w:snapToGrid w:val="0"/>
          <w:kern w:val="0"/>
          <w:sz w:val="32"/>
          <w:szCs w:val="32"/>
          <w:lang w:eastAsia="zh-CN"/>
        </w:rPr>
      </w:pPr>
      <w:r>
        <w:rPr>
          <w:rFonts w:hint="eastAsia" w:ascii="彩虹粗仿宋" w:hAnsi="宋体" w:eastAsia="彩虹粗仿宋" w:cs="Times New Roman"/>
          <w:snapToGrid w:val="0"/>
          <w:kern w:val="0"/>
          <w:sz w:val="32"/>
          <w:szCs w:val="32"/>
          <w:lang w:val="en-US" w:eastAsia="zh-CN"/>
        </w:rPr>
        <w:t>以邀请函为准</w:t>
      </w:r>
      <w:r>
        <w:rPr>
          <w:rFonts w:hint="eastAsia" w:ascii="彩虹粗仿宋" w:hAnsi="宋体" w:eastAsia="彩虹粗仿宋" w:cs="Times New Roman"/>
          <w:snapToGrid w:val="0"/>
          <w:kern w:val="0"/>
          <w:sz w:val="32"/>
          <w:szCs w:val="32"/>
          <w:lang w:eastAsia="zh-CN"/>
        </w:rPr>
        <w:t>。</w:t>
      </w:r>
    </w:p>
    <w:p>
      <w:pPr>
        <w:spacing w:line="360" w:lineRule="auto"/>
        <w:ind w:firstLine="640" w:firstLineChars="200"/>
        <w:rPr>
          <w:rFonts w:ascii="彩虹粗仿宋" w:hAnsi="宋体" w:eastAsia="彩虹粗仿宋" w:cs="Times New Roman"/>
          <w:snapToGrid w:val="0"/>
          <w:kern w:val="0"/>
          <w:sz w:val="32"/>
          <w:szCs w:val="32"/>
        </w:rPr>
      </w:pPr>
      <w:r>
        <w:rPr>
          <w:rFonts w:hint="eastAsia" w:ascii="彩虹黑体" w:hAnsi="宋体" w:eastAsia="彩虹黑体" w:cs="Times New Roman"/>
          <w:snapToGrid w:val="0"/>
          <w:color w:val="FF0000"/>
          <w:kern w:val="0"/>
          <w:sz w:val="32"/>
          <w:szCs w:val="32"/>
        </w:rPr>
        <w:t>九、售后服务要求</w:t>
      </w:r>
    </w:p>
    <w:p>
      <w:pPr>
        <w:spacing w:line="360" w:lineRule="auto"/>
        <w:ind w:firstLine="640" w:firstLineChars="200"/>
        <w:rPr>
          <w:rFonts w:hint="eastAsia" w:ascii="彩虹黑体" w:hAnsi="宋体" w:eastAsia="彩虹黑体" w:cs="Times New Roman"/>
          <w:snapToGrid w:val="0"/>
          <w:color w:val="FF0000"/>
          <w:kern w:val="0"/>
          <w:sz w:val="32"/>
          <w:szCs w:val="32"/>
        </w:rPr>
      </w:pPr>
      <w:r>
        <w:rPr>
          <w:rFonts w:hint="eastAsia" w:ascii="彩虹粗仿宋" w:hAnsi="宋体" w:eastAsia="彩虹粗仿宋" w:cs="Times New Roman"/>
          <w:snapToGrid w:val="0"/>
          <w:kern w:val="0"/>
          <w:sz w:val="32"/>
          <w:szCs w:val="32"/>
          <w:lang w:eastAsia="zh-CN"/>
        </w:rPr>
        <w:t>无</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十、报价要求</w:t>
      </w:r>
    </w:p>
    <w:p>
      <w:pPr>
        <w:spacing w:line="360" w:lineRule="auto"/>
        <w:ind w:firstLine="640" w:firstLineChars="200"/>
        <w:rPr>
          <w:rFonts w:hint="eastAsia" w:ascii="彩虹黑体" w:hAnsi="宋体" w:eastAsia="彩虹黑体" w:cs="Times New Roman"/>
          <w:snapToGrid w:val="0"/>
          <w:color w:val="FF0000"/>
          <w:kern w:val="0"/>
          <w:sz w:val="32"/>
          <w:szCs w:val="32"/>
        </w:rPr>
      </w:pPr>
      <w:r>
        <w:rPr>
          <w:rFonts w:hint="eastAsia" w:ascii="彩虹粗仿宋" w:hAnsi="宋体" w:eastAsia="彩虹粗仿宋" w:cs="Times New Roman"/>
          <w:snapToGrid w:val="0"/>
          <w:kern w:val="0"/>
          <w:sz w:val="32"/>
          <w:szCs w:val="32"/>
          <w:lang w:eastAsia="zh-CN"/>
        </w:rPr>
        <w:t>无</w:t>
      </w:r>
    </w:p>
    <w:p>
      <w:pPr>
        <w:spacing w:line="360" w:lineRule="auto"/>
        <w:ind w:firstLine="640" w:firstLineChars="200"/>
        <w:rPr>
          <w:rFonts w:ascii="彩虹黑体" w:hAnsi="宋体" w:eastAsia="彩虹黑体" w:cs="Times New Roman"/>
          <w:snapToGrid w:val="0"/>
          <w:color w:val="FF0000"/>
          <w:kern w:val="0"/>
          <w:sz w:val="32"/>
          <w:szCs w:val="32"/>
        </w:rPr>
      </w:pPr>
      <w:r>
        <w:rPr>
          <w:rFonts w:hint="eastAsia" w:ascii="彩虹黑体" w:hAnsi="宋体" w:eastAsia="彩虹黑体" w:cs="Times New Roman"/>
          <w:snapToGrid w:val="0"/>
          <w:color w:val="FF0000"/>
          <w:kern w:val="0"/>
          <w:sz w:val="32"/>
          <w:szCs w:val="32"/>
        </w:rPr>
        <w:t>十一、其他要求</w:t>
      </w:r>
    </w:p>
    <w:p>
      <w:pPr>
        <w:keepNext w:val="0"/>
        <w:keepLines w:val="0"/>
        <w:pageBreakBefore w:val="0"/>
        <w:widowControl w:val="0"/>
        <w:kinsoku/>
        <w:wordWrap/>
        <w:overflowPunct/>
        <w:topLinePunct w:val="0"/>
        <w:autoSpaceDE/>
        <w:autoSpaceDN/>
        <w:bidi w:val="0"/>
        <w:adjustRightInd/>
        <w:snapToGrid/>
        <w:ind w:firstLine="640" w:firstLineChars="200"/>
        <w:textAlignment w:val="auto"/>
      </w:pPr>
      <w:r>
        <w:rPr>
          <w:rFonts w:hint="eastAsia" w:ascii="彩虹粗仿宋" w:hAnsi="宋体" w:eastAsia="彩虹粗仿宋" w:cs="Times New Roman"/>
          <w:snapToGrid w:val="0"/>
          <w:kern w:val="0"/>
          <w:sz w:val="32"/>
          <w:szCs w:val="32"/>
          <w:lang w:eastAsia="zh-CN"/>
        </w:rPr>
        <w:t>无</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彩虹小标宋">
    <w:panose1 w:val="03000509000000000000"/>
    <w:charset w:val="86"/>
    <w:family w:val="script"/>
    <w:pitch w:val="default"/>
    <w:sig w:usb0="00000001" w:usb1="080E0000" w:usb2="00000000" w:usb3="00000000" w:csb0="00040000" w:csb1="00000000"/>
  </w:font>
  <w:font w:name="彩虹粗仿宋">
    <w:panose1 w:val="03000509000000000000"/>
    <w:charset w:val="86"/>
    <w:family w:val="script"/>
    <w:pitch w:val="default"/>
    <w:sig w:usb0="00000001" w:usb1="080E0000" w:usb2="00000000" w:usb3="00000000" w:csb0="00040000" w:csb1="00000000"/>
  </w:font>
  <w:font w:name="彩虹黑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8F80A3"/>
    <w:rsid w:val="040205BB"/>
    <w:rsid w:val="123F0A7C"/>
    <w:rsid w:val="22550F1A"/>
    <w:rsid w:val="3A96597A"/>
    <w:rsid w:val="3E810519"/>
    <w:rsid w:val="3E8F80A3"/>
    <w:rsid w:val="3FE96916"/>
    <w:rsid w:val="3FF95B4D"/>
    <w:rsid w:val="55574113"/>
    <w:rsid w:val="58D56E0F"/>
    <w:rsid w:val="5CD033D2"/>
    <w:rsid w:val="6F7F29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2026-09-30T09:58:00Z</dcterms:created>
  <dc:creator>ccb</dc:creator>
  <cp:lastModifiedBy>Administrator</cp:lastModifiedBy>
  <dcterms:modified xsi:type="dcterms:W3CDTF">2026-10-09T01:29:37Z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0733662E7E504A66B2C075394035EE7B_13</vt:lpwstr>
  </property>
</Properties>
</file>